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99312">
      <w:pPr>
        <w:spacing w:line="360" w:lineRule="auto"/>
        <w:rPr>
          <w:rFonts w:hint="eastAsia" w:ascii="Times New Roman" w:hAnsi="Times New Roman" w:eastAsia="宋体" w:cs="Times New Roman"/>
          <w:sz w:val="24"/>
          <w:szCs w:val="24"/>
          <w:lang w:val="en-US" w:eastAsia="zh-CN"/>
        </w:rPr>
      </w:pPr>
    </w:p>
    <w:p w14:paraId="10F185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90" w:lineRule="exact"/>
        <w:ind w:left="3192" w:right="0" w:hanging="3192" w:hangingChars="700"/>
        <w:jc w:val="both"/>
        <w:textAlignment w:val="auto"/>
        <w:rPr>
          <w:rFonts w:hint="eastAsia" w:ascii="方正小标宋简体" w:hAnsi="方正小标宋简体" w:eastAsia="方正小标宋简体" w:cs="方正小标宋简体"/>
          <w:b w:val="0"/>
          <w:bCs w:val="0"/>
          <w:i w:val="0"/>
          <w:iCs w:val="0"/>
          <w:caps w:val="0"/>
          <w:spacing w:val="8"/>
          <w:sz w:val="44"/>
          <w:szCs w:val="44"/>
          <w:shd w:val="clear" w:fill="FFFFFF"/>
          <w:lang w:val="en-US" w:eastAsia="zh-CN"/>
        </w:rPr>
      </w:pPr>
      <w:r>
        <w:rPr>
          <w:rFonts w:hint="eastAsia" w:ascii="方正小标宋简体" w:hAnsi="方正小标宋简体" w:eastAsia="方正小标宋简体" w:cs="方正小标宋简体"/>
          <w:b w:val="0"/>
          <w:bCs w:val="0"/>
          <w:i w:val="0"/>
          <w:iCs w:val="0"/>
          <w:caps w:val="0"/>
          <w:spacing w:val="8"/>
          <w:sz w:val="44"/>
          <w:szCs w:val="44"/>
          <w:shd w:val="clear" w:fill="FFFFFF"/>
          <w:lang w:eastAsia="zh-CN"/>
        </w:rPr>
        <w:t>第二讲</w:t>
      </w:r>
      <w:r>
        <w:rPr>
          <w:rFonts w:hint="eastAsia" w:ascii="方正小标宋简体" w:hAnsi="方正小标宋简体" w:eastAsia="方正小标宋简体" w:cs="方正小标宋简体"/>
          <w:b w:val="0"/>
          <w:bCs w:val="0"/>
          <w:i w:val="0"/>
          <w:iCs w:val="0"/>
          <w:caps w:val="0"/>
          <w:spacing w:val="8"/>
          <w:sz w:val="44"/>
          <w:szCs w:val="44"/>
          <w:shd w:val="clear" w:fill="FFFFFF"/>
          <w:lang w:val="en-US" w:eastAsia="zh-CN"/>
        </w:rPr>
        <w:t xml:space="preserve">  </w:t>
      </w:r>
      <w:r>
        <w:rPr>
          <w:rFonts w:hint="eastAsia" w:ascii="方正小标宋简体" w:hAnsi="方正小标宋简体" w:eastAsia="方正小标宋简体" w:cs="方正小标宋简体"/>
          <w:b w:val="0"/>
          <w:bCs w:val="0"/>
          <w:i w:val="0"/>
          <w:iCs w:val="0"/>
          <w:caps w:val="0"/>
          <w:spacing w:val="8"/>
          <w:sz w:val="44"/>
          <w:szCs w:val="44"/>
          <w:shd w:val="clear" w:fill="FFFFFF"/>
        </w:rPr>
        <w:t>《中国高血压防治指南（2024年修订版）》</w:t>
      </w:r>
      <w:r>
        <w:rPr>
          <w:rFonts w:hint="eastAsia" w:ascii="方正小标宋简体" w:hAnsi="方正小标宋简体" w:eastAsia="方正小标宋简体" w:cs="方正小标宋简体"/>
          <w:b w:val="0"/>
          <w:bCs w:val="0"/>
          <w:i w:val="0"/>
          <w:iCs w:val="0"/>
          <w:caps w:val="0"/>
          <w:spacing w:val="8"/>
          <w:sz w:val="44"/>
          <w:szCs w:val="44"/>
          <w:shd w:val="clear" w:fill="FFFFFF"/>
          <w:lang w:val="en-US" w:eastAsia="zh-CN"/>
        </w:rPr>
        <w:t>要点解读</w:t>
      </w:r>
    </w:p>
    <w:p w14:paraId="65FF7FCC">
      <w:pPr>
        <w:spacing w:line="360" w:lineRule="auto"/>
        <w:ind w:firstLine="1920" w:firstLineChars="6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福建</w:t>
      </w:r>
      <w:r>
        <w:rPr>
          <w:rFonts w:hint="eastAsia" w:ascii="仿宋_GB2312" w:hAnsi="仿宋_GB2312" w:eastAsia="仿宋_GB2312" w:cs="仿宋_GB2312"/>
          <w:sz w:val="32"/>
          <w:szCs w:val="32"/>
          <w:lang w:val="en-US" w:eastAsia="zh-CN"/>
        </w:rPr>
        <w:t xml:space="preserve">医科大学附属协和医院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陈菲</w:t>
      </w:r>
    </w:p>
    <w:p w14:paraId="67557724">
      <w:pPr>
        <w:rPr>
          <w:rFonts w:hint="eastAsia" w:ascii="仿宋_GB2312" w:hAnsi="仿宋_GB2312" w:eastAsia="仿宋_GB2312" w:cs="仿宋_GB2312"/>
          <w:sz w:val="32"/>
          <w:szCs w:val="32"/>
          <w:lang w:val="en-US" w:eastAsia="zh-CN"/>
        </w:rPr>
      </w:pPr>
    </w:p>
    <w:p w14:paraId="6AB9F2AC">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《中国高血压防治指南（2024年修订版）》是在2018年版的基础上，根据国内外高血压及相关疾病领域最新研究进展进行修订完成的。</w:t>
      </w:r>
    </w:p>
    <w:p w14:paraId="75FD8368">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1：我国人群高血压流行及防控现状</w:t>
      </w:r>
    </w:p>
    <w:p w14:paraId="275A18CB">
      <w:pPr>
        <w:spacing w:line="360" w:lineRule="auto"/>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我国人群高血压患病率持续增高。近年来中青年人群及农村地区高血压患病率上升趋势更明显。我国高血压患者的知晓率、治疗率和控制（三率）已有明显改善，但总体仍处于较低的水平，别达51.6％、45.8％和16.8％。高血压“三率”女高于男性，城市居民高于农村居民，中青年人群“率”较低。高钠、低钾膳食，超重和肥胖，吸烟，过量饮酒，心理社会因素</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空气污染</w:t>
      </w:r>
      <w:r>
        <w:rPr>
          <w:rFonts w:hint="eastAsia" w:ascii="仿宋_GB2312" w:hAnsi="仿宋_GB2312" w:eastAsia="仿宋_GB2312" w:cs="仿宋_GB2312"/>
          <w:b w:val="0"/>
          <w:bCs w:val="0"/>
          <w:sz w:val="32"/>
          <w:szCs w:val="32"/>
        </w:rPr>
        <w:t>等是我国人群重要的高血压危险因素。我国政府和专业组织实施了一系列高血压防控计划和项目，旨在进一步提升高血压防控水平。</w:t>
      </w:r>
    </w:p>
    <w:p w14:paraId="2C721DC6">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2：高血压与心血管风险</w:t>
      </w:r>
    </w:p>
    <w:p w14:paraId="7EF707A6">
      <w:pPr>
        <w:spacing w:line="360" w:lineRule="auto"/>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诊室血压水平与心血管风险呈连续、独立、直接的正相关关系。24h动态血压和夜间血压与心血管风险的关联甚至更密切。家庭血压，尤其是家庭清晨血压，与患者预后密切相关。脑卒中仍是目前我国高血压人群最主要的并发症，冠心病事件也有明显上升。高血压导致的其他并发症包括心房颤动、心力衰竭、终末期肾病（end stage renal disease，ESRD）、痴呆等。</w:t>
      </w:r>
    </w:p>
    <w:p w14:paraId="383ECFE7">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3：血压测量</w:t>
      </w:r>
    </w:p>
    <w:p w14:paraId="3197520E">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静息状态下血压测量步骤</w:t>
      </w:r>
    </w:p>
    <w:p w14:paraId="30CCF736">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·坐位安静休息至少5min后，测量上臂血压，上臂应置于心脏水平。</w:t>
      </w:r>
    </w:p>
    <w:p w14:paraId="5BA3C1FE">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·推荐使用经过准确性验证的上臂式电子血压计（I，C），不建议使用水银血 压计（III，C）。</w:t>
      </w:r>
    </w:p>
    <w:p w14:paraId="75F8D6F6">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·使用标准规格的袖带，臂围大者(&gt;32cm)应使用大袖带，臂围小者(&lt;24cm)应使用小袖带(I,C)。</w:t>
      </w:r>
    </w:p>
    <w:p w14:paraId="1B440244">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·首诊时测量两侧上臂血压，以血压读数较高的一侧作为测量血压的上臂（I，B）。</w:t>
      </w:r>
    </w:p>
    <w:p w14:paraId="71A2A3C5">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·测量血压时，应相隔30～60s重复测量，取2次读数的平均值记录。如果收缩压或舒张压的2次读数相差10mmHg以上，应再次测量，取3次读数的平均值记录(1,C)。</w:t>
      </w:r>
    </w:p>
    <w:p w14:paraId="1F077B57">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·老年人、糖尿病或出现体位性低血压患者，应该加测站立位血压。站立位血压在卧位或坐位改为站立位后1min和3min时测量。</w:t>
      </w:r>
    </w:p>
    <w:p w14:paraId="619BF986">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·在测量血压的同时，应测定脉率（I，B）。</w:t>
      </w:r>
    </w:p>
    <w:p w14:paraId="24282B78">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各种血压测量方法评价</w:t>
      </w:r>
    </w:p>
    <w:p w14:paraId="2144BBED">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·诊室血压是诊断高血压、进行血压水平分级以及观察降压疗效的常用方法（I，A）。</w:t>
      </w:r>
    </w:p>
    <w:p w14:paraId="01F7545F">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·应尽可能进行诊室外血压测量，确诊高血压，识别白大衣性高血压与隐蔽性高血压，评估降压疗效，诊断难治性高血压（I，C）。</w:t>
      </w:r>
    </w:p>
    <w:p w14:paraId="4A24A1F7">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·动态血压监测还可评估血压昼夜节律，判断夜间高血压、清晨高血压等临床表型。</w:t>
      </w:r>
    </w:p>
    <w:p w14:paraId="62282E6E">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·基于互联网的远程实时家庭血压监测是血压管理的新模式。</w:t>
      </w:r>
    </w:p>
    <w:p w14:paraId="5844407E">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·四肢血压测量计算踝／臂血压指数（ankle-brachial index，ABI）或两侧上臂或下肢血压差值，可用于诊断外周动脉疾病（lIa，B）。</w:t>
      </w:r>
    </w:p>
    <w:p w14:paraId="5699A2FF">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降压疗效的根本手段和方法。在临床和人群防治工作中，主要采用诊室血压测量和诊室外血压测量。</w:t>
      </w:r>
    </w:p>
    <w:p w14:paraId="26432C8A">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前者包括由医护人员进行的常规诊室血压测量以及患者自我操作的自动诊室血压测量（automated office blood pressure measurement，AOBP），均需在标准条件下按统一规范进行测量。</w:t>
      </w:r>
    </w:p>
    <w:p w14:paraId="7D75A2C7">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后者包括动态血压监测（ambulatory blood pressure mnonitoring，ABPM）和家庭血压监测（home blood pressure monitoring，HBPM），可提供医疗环境外大量血压数据，与靶器官损害的关系比诊室血压更为显著，预测心血管风险能力优于诊室血压。</w:t>
      </w:r>
    </w:p>
    <w:p w14:paraId="7B13334B">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不论诊室血压测量还是诊室外血压测量，均建议使用通过国际标准方案（国际标准化组织-81060、欧洲高血压学会、英国高血压学会或美国医疗器械促进协会）认证的上臂式电子血压计。</w:t>
      </w:r>
    </w:p>
    <w:p w14:paraId="252C7FCC">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4：诊断性评估</w:t>
      </w:r>
    </w:p>
    <w:p w14:paraId="21E3DB64">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诊断性评估的目的是做出高血压病因的鉴别诊断和评估患者的心脑血管疾病风险程度，指导诊断与治疗。</w:t>
      </w:r>
    </w:p>
    <w:p w14:paraId="69B71B55">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诊断性评估的内容包括以下三方面：</w:t>
      </w:r>
    </w:p>
    <w:p w14:paraId="086F8B13">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（1）确立高血压诊断，确定血压水平分级；</w:t>
      </w:r>
    </w:p>
    <w:p w14:paraId="5AF7FB46">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（2）判断高血压的原因，区分原发性或继发性高血压；</w:t>
      </w:r>
    </w:p>
    <w:p w14:paraId="6767ADCA">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（3）寻找其他心脑血管疾病危险因素，评估靶器官损害，确定心血管疾病、脑血管病或肾脏疾病等相关临床情况。</w:t>
      </w:r>
    </w:p>
    <w:p w14:paraId="20981C77">
      <w:pPr>
        <w:spacing w:line="360" w:lineRule="auto"/>
        <w:rPr>
          <w:rFonts w:hint="eastAsia" w:ascii="仿宋_GB2312" w:hAnsi="仿宋_GB2312" w:eastAsia="仿宋_GB2312" w:cs="仿宋_GB2312"/>
          <w:b w:val="0"/>
          <w:bCs w:val="0"/>
          <w:sz w:val="32"/>
          <w:szCs w:val="32"/>
        </w:rPr>
      </w:pPr>
    </w:p>
    <w:p w14:paraId="5F69D309">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高血压患者初步诊断评估简易流程见图1。</w:t>
      </w:r>
    </w:p>
    <w:p w14:paraId="7C4D3DDD">
      <w:pPr>
        <w:spacing w:line="360" w:lineRule="auto"/>
        <w:rPr>
          <w:rFonts w:hint="eastAsia" w:ascii="仿宋_GB2312" w:hAnsi="仿宋_GB2312" w:eastAsia="仿宋_GB2312" w:cs="仿宋_GB2312"/>
          <w:b w:val="0"/>
          <w:bCs w:val="0"/>
          <w:sz w:val="32"/>
          <w:szCs w:val="32"/>
        </w:rPr>
      </w:pPr>
    </w:p>
    <w:p w14:paraId="190EF31E">
      <w:pPr>
        <w:spacing w:line="360" w:lineRule="auto"/>
        <w:rPr>
          <w:rFonts w:hint="eastAsia" w:ascii="仿宋_GB2312" w:hAnsi="仿宋_GB2312" w:eastAsia="仿宋_GB2312" w:cs="仿宋_GB2312"/>
          <w:b w:val="0"/>
          <w:bCs w:val="0"/>
          <w:sz w:val="32"/>
          <w:szCs w:val="32"/>
        </w:rPr>
      </w:pPr>
    </w:p>
    <w:p w14:paraId="58C6C1C3">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drawing>
          <wp:inline distT="0" distB="0" distL="114300" distR="114300">
            <wp:extent cx="3848735" cy="5691505"/>
            <wp:effectExtent l="0" t="0" r="18415" b="4445"/>
            <wp:docPr id="26" name="图片 2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2" descr="IMG_256"/>
                    <pic:cNvPicPr>
                      <a:picLocks noChangeAspect="1"/>
                    </pic:cNvPicPr>
                  </pic:nvPicPr>
                  <pic:blipFill>
                    <a:blip r:embed="rId4"/>
                    <a:stretch>
                      <a:fillRect/>
                    </a:stretch>
                  </pic:blipFill>
                  <pic:spPr>
                    <a:xfrm>
                      <a:off x="0" y="0"/>
                      <a:ext cx="3848735" cy="5691505"/>
                    </a:xfrm>
                    <a:prstGeom prst="rect">
                      <a:avLst/>
                    </a:prstGeom>
                    <a:noFill/>
                    <a:ln w="9525">
                      <a:noFill/>
                    </a:ln>
                  </pic:spPr>
                </pic:pic>
              </a:graphicData>
            </a:graphic>
          </wp:inline>
        </w:drawing>
      </w:r>
    </w:p>
    <w:p w14:paraId="6EB243C2">
      <w:pPr>
        <w:spacing w:line="360" w:lineRule="auto"/>
        <w:rPr>
          <w:rFonts w:hint="eastAsia" w:ascii="仿宋_GB2312" w:hAnsi="仿宋_GB2312" w:eastAsia="仿宋_GB2312" w:cs="仿宋_GB2312"/>
          <w:b w:val="0"/>
          <w:bCs w:val="0"/>
          <w:sz w:val="32"/>
          <w:szCs w:val="32"/>
        </w:rPr>
      </w:pPr>
    </w:p>
    <w:p w14:paraId="69C0A032">
      <w:pPr>
        <w:spacing w:line="360" w:lineRule="auto"/>
        <w:rPr>
          <w:rFonts w:hint="eastAsia" w:ascii="仿宋_GB2312" w:hAnsi="仿宋_GB2312" w:eastAsia="仿宋_GB2312" w:cs="仿宋_GB2312"/>
          <w:b w:val="0"/>
          <w:bCs w:val="0"/>
          <w:sz w:val="32"/>
          <w:szCs w:val="32"/>
        </w:rPr>
      </w:pPr>
    </w:p>
    <w:p w14:paraId="0AE4CAB0">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4-1 病史</w:t>
      </w:r>
    </w:p>
    <w:p w14:paraId="72F7676A">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应全面详细了解患者病史，包括以下内容：</w:t>
      </w:r>
    </w:p>
    <w:p w14:paraId="2AA31B35">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（1）病程：初次发现或诊断高血压的时间、场合、血压最高水平。如已接受降压药治疗，说明既往及目前使用的降压药种类、剂量、疗效及有无不良反应。</w:t>
      </w:r>
    </w:p>
    <w:p w14:paraId="13E41609">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（2）症状：询问目前及既往是否有高血压相关症状，如胸痛、气短、心悸、跛行、周围水肿、头痛、视力模糊、夜尿症、血尿、头晕等症状。</w:t>
      </w:r>
    </w:p>
    <w:p w14:paraId="5465DA2F">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（3）既往史：询问目前及既往是否有脑卒中或一过性脑缺血、冠心病、心力衰竭、心房颤动、周围血管病、糖尿病、痛风、血脂异常、性功能异常、肾脏疾病和抗肿瘤治疗等情况。</w:t>
      </w:r>
    </w:p>
    <w:p w14:paraId="78237ADA">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（4）家族史：询问患者有无高血压、脑卒中、糖尿病、血脂异常、冠心病或肾脏病的家族史，包括一级亲属发生心脑血管事件时的年龄。</w:t>
      </w:r>
    </w:p>
    <w:p w14:paraId="7C7A7DD3">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（5）继发性高血压的线索：例如肾炎史或贫血史；肌无力、发作性软瘫等；阵发性头痛、心悸、多汗；打鼾伴有呼吸暂停；是否长期应用升高血压的药物。</w:t>
      </w:r>
    </w:p>
    <w:p w14:paraId="1E40B7B3">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（6）生活方式：盐、酒及脂肪的摄入量，吸烟状况、体力活动量、体重变化、睡眠习惯等情况。</w:t>
      </w:r>
    </w:p>
    <w:p w14:paraId="7DC2A7B1">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（7）心理社会因素：应了解目前的精神心理状态，包括是否存在焦虑、抑郁、失眠等；了解家庭状况、工作环境、文化程度、经济状况等；以及应激事件、个性特征、应对方式等。</w:t>
      </w:r>
    </w:p>
    <w:p w14:paraId="2979F20B">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4-2 体格检查</w:t>
      </w:r>
    </w:p>
    <w:p w14:paraId="305B6D57">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仔细的体格检查有助于发现继发性高血压线索和靶器官损害情况。体格检查包括：</w:t>
      </w:r>
    </w:p>
    <w:p w14:paraId="1E3A8D81">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（1）测量血压（详见3“血压测量”部分），测量脉率，测量体重指数、腰围及臀围。</w:t>
      </w:r>
    </w:p>
    <w:p w14:paraId="416F34A6">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（2）观察有无库欣面容、贫血面容、甲状腺功能亢进性突眼征或下肢水肿等。</w:t>
      </w:r>
    </w:p>
    <w:p w14:paraId="3DDD1459">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（3）听诊心脏、颈动脉、胸主动脉、腹部动脉和股动脉有无杂音。</w:t>
      </w:r>
    </w:p>
    <w:p w14:paraId="5B54F72F">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（4）触诊甲状腺，检查四肢动脉搏动和神经系统体征。</w:t>
      </w:r>
    </w:p>
    <w:p w14:paraId="2DE8BA02">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4-3 实验室检查</w:t>
      </w:r>
    </w:p>
    <w:p w14:paraId="5CEFFE8C">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基本项目：血生化（血钾、钠、空腹血糖、血脂、尿酸和肌酐）、血常规、尿液分析（尿蛋白、尿糖和尿沉渣镜检）、心电图等。</w:t>
      </w:r>
    </w:p>
    <w:p w14:paraId="6749DFFE">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推荐项目：超声心动图、颈动脉超声、口服葡萄糖耐量试验、糖化血红蛋白、血高敏C反应蛋白、血同型半胱氨酸、UACR、眼底、胸部X线摄片、脉搏波传导速度（PWV）以及ABI等。</w:t>
      </w:r>
    </w:p>
    <w:p w14:paraId="4578C5A5">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选择项目：对怀疑继发性高血压患者，根据需要可以选择以下检查项目：</w:t>
      </w:r>
    </w:p>
    <w:p w14:paraId="39D7FAE3">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血浆肾素活性（PRA）或肾素浓度、血和24h尿醛固酮、血和尿皮质醇、血游离甲氧基肾上腺素及甲氧基去甲肾上腺素、血或尿儿茶酚胺、24h尿蛋白定量、24h尿电解质、点尿钠和肌酐、肾动脉超声和造影、肾和肾上腺超声、肾上腺CT、肾上腺静脉取血（AVS）以及睡眠呼吸监测等。</w:t>
      </w:r>
    </w:p>
    <w:p w14:paraId="4111CBD6">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对有合并症的高血压患者，进行相应的心功能、肾功能、下肢动脉超声和认知功能等检查。</w:t>
      </w:r>
    </w:p>
    <w:p w14:paraId="7F2B7689">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4-4 评估靶器官损害</w:t>
      </w:r>
    </w:p>
    <w:p w14:paraId="242CE28D">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高血压靶器官损害是指由血压升高引起的大动脉、小动脉或终末器官（心脏、肾脏、脑和眼）的结构或功能改变，是临床前或无症状心血管疾病或肾脏疾病的标志。</w:t>
      </w:r>
    </w:p>
    <w:p w14:paraId="17F90627">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靶器官损害的存在会增加心血管风险。</w:t>
      </w:r>
    </w:p>
    <w:p w14:paraId="3D9949D8">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在高血压患者中，评估是否有靶器官损害是高血压诊断评估的重要内容，特别是检出无症状性亚临床靶器官损害。</w:t>
      </w:r>
    </w:p>
    <w:p w14:paraId="2AF07537">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早期检出并及时治疗，亚临床靶器官损害是可以逆转的。</w:t>
      </w:r>
    </w:p>
    <w:p w14:paraId="61B03447">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提倡因地因人制宜，采用相对简便、费效比适当、易于推广的检查手段，开展亚临床靶器官损害的筛查和防治。</w:t>
      </w:r>
    </w:p>
    <w:p w14:paraId="0EDD9E01">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4-4-1 心脏</w:t>
      </w:r>
    </w:p>
    <w:p w14:paraId="49843E20">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常用的检查方法包括心电图、超声心动图。</w:t>
      </w:r>
    </w:p>
    <w:p w14:paraId="7920CC6C">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其他评估高血压心脏损害的方法有：24h动态心电图、胸部X 线检查、运动试验、心脏同位素显像、冠状动脉计算机断层扫描血管造影（CTA）、心脏磁共振成像（MRI）及磁共振血管造影、冠状动脉造影等。</w:t>
      </w:r>
    </w:p>
    <w:p w14:paraId="3C751C6C">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降压治疗可能会逆转LVH，并提示更好的预后。建议对伴有LVH的患者进行随访，最好是通过超声心动图监测LVH的演变以及心脏的其他结构和功能改变。</w:t>
      </w:r>
    </w:p>
    <w:p w14:paraId="0FDE0CFF">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4-4-2 肾脏</w:t>
      </w:r>
    </w:p>
    <w:p w14:paraId="6C2B37F2">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肾脏损害主要表现为血清肌酐升高、eGFR降低，或尿白蛋白排泄量增加。</w:t>
      </w:r>
    </w:p>
    <w:p w14:paraId="686EC854">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高血压患者，尤其合并糖尿病时，应定期监测24h尿白蛋白排泄量或UACR。UACR通过点尿（最好是清晨尿液）进行测量，是量化尿白蛋白排泄量的首选方法。</w:t>
      </w:r>
    </w:p>
    <w:p w14:paraId="61AC588B">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血清尿酸水平增高对心血管风险可能也有一定预测价值。</w:t>
      </w:r>
    </w:p>
    <w:p w14:paraId="0E913642">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4-4-3 脑</w:t>
      </w:r>
    </w:p>
    <w:p w14:paraId="21408B6A">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高血压不仅会导致缺血性脑卒中、颅内出血和短暂性脑缺血发作（TIA）等急性脑血管事件，而且也是慢性、无症状脑损伤的主要危险因素，最终可能导致痴呆。</w:t>
      </w:r>
    </w:p>
    <w:p w14:paraId="1229E847">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长期高血压会对脑血管损伤产生累积效应，包括动脉粥样硬化、白质病变、无症状脑梗死、微梗死、微出血和脑萎缩。</w:t>
      </w:r>
    </w:p>
    <w:p w14:paraId="6A7C331C">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头颅磁共振血管造影或CTA有助于发现脑腔隙性病灶、无症状性脑血管病变（如颅内动脉狭窄、钙化和斑块病变、血管瘤）以及脑白质损害，但不推荐用于靶器官损害的临床筛查。</w:t>
      </w:r>
    </w:p>
    <w:p w14:paraId="363FB9D5">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经颅多普勒超声对诊断脑血管痉挛、狭窄或闭塞有一定帮助。目前认知功能的筛查评估主要采用简易精神状态量表。</w:t>
      </w:r>
    </w:p>
    <w:p w14:paraId="29BA06CD">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4-4-4 眼底</w:t>
      </w:r>
    </w:p>
    <w:p w14:paraId="36AC1523">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眼底镜检查可检测高血压导致的视网膜病变，如出血、微动脉瘤、硬性渗出物和棉絮斑、视乳头水肿和／或黄斑水肿。</w:t>
      </w:r>
    </w:p>
    <w:p w14:paraId="4206712D">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特定的高血压患者应进行眼底镜检查，特别是患有高血压急症、疑似恶性高血压或合并糖尿病的患者。</w:t>
      </w:r>
    </w:p>
    <w:p w14:paraId="3E11BE00">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可视化等眼底检查新技术可能有助于对大量高血压患者筛查和评估视网膜病变。</w:t>
      </w:r>
    </w:p>
    <w:p w14:paraId="1482E0CA">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4-4-5 大血管</w:t>
      </w:r>
    </w:p>
    <w:p w14:paraId="7F603504">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颈动脉内膜中层厚度（IMT）可预测心血管事件，粥样斑块的预测作用强于颈动脉IMT。</w:t>
      </w:r>
    </w:p>
    <w:p w14:paraId="4E40C151">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大动脉僵硬度增加预测心/血管风险的证据日益增多。</w:t>
      </w:r>
    </w:p>
    <w:p w14:paraId="049C87FA">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PWV增快是心血管事件和全因死亡的强预测因子。</w:t>
      </w:r>
    </w:p>
    <w:p w14:paraId="72D83F53">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颈-股动脉脉搏波传导速度（cfPWV）是测量大动脉僵硬度的金标准。</w:t>
      </w:r>
    </w:p>
    <w:p w14:paraId="0190AA71">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肱-踝动脉脉搏波传导速度（baPWV）与心血管风险有很强相关性，也可作为评估大动脉僵硬度的关键指标。</w:t>
      </w:r>
    </w:p>
    <w:p w14:paraId="59CEDE45">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ABI 能有效筛查和诊断外周动脉疾病（PAD）、预测心血管风险。</w:t>
      </w:r>
    </w:p>
    <w:p w14:paraId="532AEDA0">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4-5 血压分类与心血管危险分层</w:t>
      </w:r>
    </w:p>
    <w:p w14:paraId="68646B1B">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高血压定义：在未使用降压药的情况下，诊室血压≥140/90mmHg；或家庭血压≥135/85mmHg；或24h动态血压≥130/80mmHg，白天血压≥135/85mmHg，夜间血压≥120/70mmHg。</w:t>
      </w:r>
    </w:p>
    <w:p w14:paraId="5D07B419">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根据诊室血压升高水平，将高血压分为1级、2级和3级（I，C）。</w:t>
      </w:r>
    </w:p>
    <w:p w14:paraId="17453044">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根据血压水平、心血管危险因素、靶器官损害、临床并发症以及糖尿病和CKD等合并症进行心血管危险分层，分为低危、中危、高危和很高危4个层次(I，C)。</w:t>
      </w:r>
    </w:p>
    <w:p w14:paraId="02A29A1D">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4-5-1 按血压水平分类和分级</w:t>
      </w:r>
    </w:p>
    <w:p w14:paraId="1FF1341D">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目前，我国采用正常血压、正常高值和高血压进行血压水平分类，并根据诊室血压水平进一步将高血压分为1级、2级和3级（表6）。</w:t>
      </w:r>
    </w:p>
    <w:p w14:paraId="31E1190E">
      <w:pPr>
        <w:spacing w:line="360" w:lineRule="auto"/>
        <w:rPr>
          <w:rFonts w:hint="eastAsia" w:ascii="仿宋_GB2312" w:hAnsi="仿宋_GB2312" w:eastAsia="仿宋_GB2312" w:cs="仿宋_GB2312"/>
          <w:b w:val="0"/>
          <w:bCs w:val="0"/>
          <w:sz w:val="32"/>
          <w:szCs w:val="32"/>
        </w:rPr>
      </w:pPr>
    </w:p>
    <w:p w14:paraId="2BF3521E">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drawing>
          <wp:inline distT="0" distB="0" distL="114300" distR="114300">
            <wp:extent cx="5272405" cy="2056765"/>
            <wp:effectExtent l="0" t="0" r="4445" b="635"/>
            <wp:docPr id="37" name="图片 34"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4" descr="IMG_268"/>
                    <pic:cNvPicPr>
                      <a:picLocks noChangeAspect="1"/>
                    </pic:cNvPicPr>
                  </pic:nvPicPr>
                  <pic:blipFill>
                    <a:blip r:embed="rId5"/>
                    <a:stretch>
                      <a:fillRect/>
                    </a:stretch>
                  </pic:blipFill>
                  <pic:spPr>
                    <a:xfrm>
                      <a:off x="0" y="0"/>
                      <a:ext cx="5272405" cy="2056765"/>
                    </a:xfrm>
                    <a:prstGeom prst="rect">
                      <a:avLst/>
                    </a:prstGeom>
                    <a:noFill/>
                    <a:ln w="9525">
                      <a:noFill/>
                    </a:ln>
                  </pic:spPr>
                </pic:pic>
              </a:graphicData>
            </a:graphic>
          </wp:inline>
        </w:drawing>
      </w:r>
    </w:p>
    <w:p w14:paraId="6BEF6AB1">
      <w:pPr>
        <w:spacing w:line="360" w:lineRule="auto"/>
        <w:rPr>
          <w:rFonts w:hint="eastAsia" w:ascii="仿宋_GB2312" w:hAnsi="仿宋_GB2312" w:eastAsia="仿宋_GB2312" w:cs="仿宋_GB2312"/>
          <w:b w:val="0"/>
          <w:bCs w:val="0"/>
          <w:sz w:val="32"/>
          <w:szCs w:val="32"/>
        </w:rPr>
      </w:pPr>
    </w:p>
    <w:p w14:paraId="604FCB2A">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保留3级高血压，主要原因在于，与高血压控制水平较高的国家和地区相比，我国高血压患者中8％以上为3级高血压，估计我国3级高血压患者超过2000万人，这部分患者的诊断和干预策略与风险较低的1、2级高血压有着显著不同，需要特别关注这部分患者并进行积极监测与治疗，避免发生靶器官损害及临床并发症。</w:t>
      </w:r>
    </w:p>
    <w:p w14:paraId="7F2749DB">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将血压水平120～139／80～89mmHHg 定为正常高值血压，旨在明确此类人群应重视进行生活方式干预。</w:t>
      </w:r>
    </w:p>
    <w:p w14:paraId="387D37BD">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以上分类和分级适用于18岁以上任何年龄的成年人。</w:t>
      </w:r>
    </w:p>
    <w:p w14:paraId="650C67EE">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诊室血压、家庭血压和动态血压水平均可作为高血压诊断的依据。</w:t>
      </w:r>
    </w:p>
    <w:p w14:paraId="478A76B3">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用于诊断高血压时，诊室血压需非同日3次测量，家庭血压需连续5～7d测量，不能仅凭单次测量的诊室血压值或单日测量的家庭血压值诊断高血压。</w:t>
      </w:r>
    </w:p>
    <w:p w14:paraId="15D0EFDD">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诊室血压和家庭血压测量应做到规范化，未规范化测量的血压值不应作为高血压诊断依据。</w:t>
      </w:r>
    </w:p>
    <w:p w14:paraId="7BFDA3AA">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当前，我国诊室血压和家庭血压测量的规范化难以评估，而ABPM（动态血压）的稳定性和重复性较好，诊断高血压更为准确。</w:t>
      </w:r>
    </w:p>
    <w:p w14:paraId="46E06FF5">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因此，如果条件允许，应通过ABPM（动态血压）来确诊高血压。</w:t>
      </w:r>
    </w:p>
    <w:p w14:paraId="53103238">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根据诊室血压、家庭血压和动态血压以及患者服药情况，高血压的定义如下：</w:t>
      </w:r>
    </w:p>
    <w:p w14:paraId="09715707">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未使用降压药的情况下，非同日3次测量诊室血压≥140/90mmHg；或连续5～7d测量家庭血压≥135/8mmHg；或24h动态血压≥130/80mmHg，白天血压≥135／85mmHg，夜间血压≥120／70mmHg。患者既往有高血压史，目前使用降压药，血压虽然低于上述诊断界值，仍应诊断为高血压。</w:t>
      </w:r>
    </w:p>
    <w:p w14:paraId="49D6B864">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基于诊室血压、动态血压和家庭血压的高血压诊断标准亦可参见表7。</w:t>
      </w:r>
    </w:p>
    <w:p w14:paraId="4D174411">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血压测量及高血压诊断流程见图2。</w:t>
      </w:r>
    </w:p>
    <w:p w14:paraId="6E02F686">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drawing>
          <wp:inline distT="0" distB="0" distL="114300" distR="114300">
            <wp:extent cx="5268595" cy="1315720"/>
            <wp:effectExtent l="0" t="0" r="8255" b="17780"/>
            <wp:docPr id="30" name="图片 35"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5" descr="IMG_269"/>
                    <pic:cNvPicPr>
                      <a:picLocks noChangeAspect="1"/>
                    </pic:cNvPicPr>
                  </pic:nvPicPr>
                  <pic:blipFill>
                    <a:blip r:embed="rId6"/>
                    <a:stretch>
                      <a:fillRect/>
                    </a:stretch>
                  </pic:blipFill>
                  <pic:spPr>
                    <a:xfrm>
                      <a:off x="0" y="0"/>
                      <a:ext cx="5268595" cy="1315720"/>
                    </a:xfrm>
                    <a:prstGeom prst="rect">
                      <a:avLst/>
                    </a:prstGeom>
                    <a:noFill/>
                    <a:ln w="9525">
                      <a:noFill/>
                    </a:ln>
                  </pic:spPr>
                </pic:pic>
              </a:graphicData>
            </a:graphic>
          </wp:inline>
        </w:drawing>
      </w:r>
      <w:r>
        <w:rPr>
          <w:rFonts w:hint="eastAsia" w:ascii="仿宋_GB2312" w:hAnsi="仿宋_GB2312" w:eastAsia="仿宋_GB2312" w:cs="仿宋_GB2312"/>
          <w:b w:val="0"/>
          <w:bCs w:val="0"/>
          <w:sz w:val="32"/>
          <w:szCs w:val="32"/>
          <w:lang w:val="en-US" w:eastAsia="zh-CN"/>
        </w:rPr>
        <w:drawing>
          <wp:inline distT="0" distB="0" distL="114300" distR="114300">
            <wp:extent cx="5267325" cy="2560320"/>
            <wp:effectExtent l="0" t="0" r="9525" b="11430"/>
            <wp:docPr id="35" name="图片 36"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6" descr="IMG_270"/>
                    <pic:cNvPicPr>
                      <a:picLocks noChangeAspect="1"/>
                    </pic:cNvPicPr>
                  </pic:nvPicPr>
                  <pic:blipFill>
                    <a:blip r:embed="rId7"/>
                    <a:stretch>
                      <a:fillRect/>
                    </a:stretch>
                  </pic:blipFill>
                  <pic:spPr>
                    <a:xfrm>
                      <a:off x="0" y="0"/>
                      <a:ext cx="5267325" cy="2560320"/>
                    </a:xfrm>
                    <a:prstGeom prst="rect">
                      <a:avLst/>
                    </a:prstGeom>
                    <a:noFill/>
                    <a:ln w="9525">
                      <a:noFill/>
                    </a:ln>
                  </pic:spPr>
                </pic:pic>
              </a:graphicData>
            </a:graphic>
          </wp:inline>
        </w:drawing>
      </w:r>
    </w:p>
    <w:p w14:paraId="4AFA7CD5">
      <w:pPr>
        <w:spacing w:line="360" w:lineRule="auto"/>
        <w:rPr>
          <w:rFonts w:hint="eastAsia" w:ascii="仿宋_GB2312" w:hAnsi="仿宋_GB2312" w:eastAsia="仿宋_GB2312" w:cs="仿宋_GB2312"/>
          <w:b w:val="0"/>
          <w:bCs w:val="0"/>
          <w:sz w:val="32"/>
          <w:szCs w:val="32"/>
        </w:rPr>
      </w:pPr>
    </w:p>
    <w:p w14:paraId="7669E60C">
      <w:pPr>
        <w:spacing w:line="360" w:lineRule="auto"/>
        <w:rPr>
          <w:rFonts w:hint="eastAsia" w:ascii="仿宋_GB2312" w:hAnsi="仿宋_GB2312" w:eastAsia="仿宋_GB2312" w:cs="仿宋_GB2312"/>
          <w:b w:val="0"/>
          <w:bCs w:val="0"/>
          <w:sz w:val="32"/>
          <w:szCs w:val="32"/>
        </w:rPr>
      </w:pPr>
    </w:p>
    <w:p w14:paraId="0F015105">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4-5-2 按心血管危险分层</w:t>
      </w:r>
    </w:p>
    <w:p w14:paraId="11BE25A5">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高血压是影响心血管事件发生和预后的最重要的独立危险因素，但当合并血压升高以外的危险因素时，心血管风险会进一步升高。</w:t>
      </w:r>
    </w:p>
    <w:p w14:paraId="1B3962BA">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因此，除血压水平外，还需要综合考虑血压之外的心血管危险因素，进行心血管风险评估并分层。</w:t>
      </w:r>
    </w:p>
    <w:p w14:paraId="624C264D">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存在靶器官损害、临床并发症或糖尿病、CKD等合并症时，心血管风险进一步升高。</w:t>
      </w:r>
    </w:p>
    <w:p w14:paraId="0608568D">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高血压患者的心血管危险分层有利于更准确地确定启动降压治疗的时机和目标，优化降压治疗方案，进行综合管理。</w:t>
      </w:r>
    </w:p>
    <w:p w14:paraId="5678B048">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进行心血管危险分层时，可以评估心血管风险或ASCVD风险。</w:t>
      </w:r>
      <w:r>
        <w:rPr>
          <w:rFonts w:hint="eastAsia" w:ascii="仿宋_GB2312" w:hAnsi="仿宋_GB2312" w:eastAsia="仿宋_GB2312" w:cs="仿宋_GB2312"/>
          <w:b w:val="0"/>
          <w:bCs w:val="0"/>
          <w:sz w:val="32"/>
          <w:szCs w:val="32"/>
        </w:rPr>
        <w:br w:type="textWrapping"/>
      </w:r>
      <w:r>
        <w:rPr>
          <w:rFonts w:hint="eastAsia" w:ascii="仿宋_GB2312" w:hAnsi="仿宋_GB2312" w:eastAsia="仿宋_GB2312" w:cs="仿宋_GB2312"/>
          <w:b w:val="0"/>
          <w:bCs w:val="0"/>
          <w:sz w:val="32"/>
          <w:szCs w:val="32"/>
        </w:rPr>
        <w:t>ASCVD风险评估主要用于指导调脂治疗和降糖治疗，而在决定降压治疗策略时，则应兼顾ASCVD及出血性脑卒中，因而宜采用心血管风险评估。</w:t>
      </w:r>
    </w:p>
    <w:p w14:paraId="2F4298A9">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1999年第一版中国高血压防治指南即采用了1999年世界卫生组织／国际高血压学会高血压管理指南推荐的心血管风险评估和分层方法，将高血压患者按10年内发生心血管疾病的绝对风险分为低危（＜15%)、中危（15％～20％）、高危（20％～30％）和很高危（＞30%）。</w:t>
      </w:r>
    </w:p>
    <w:p w14:paraId="0B6F53A3">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此后，2005年、2010年和2018年版中国高血压防治指南一直延用该方法，并在临床实践以及我国高血压临床路径制订、医疗保险支付中广泛应用。</w:t>
      </w:r>
    </w:p>
    <w:p w14:paraId="5AF4AAE5">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基于以往我国高血压防治指南实施情况和有关研究进展，对心血管危险分层内容进行部分修改（表8、表9）。影响高血压患者心血管预后的危险因素中增加了心率增快和高尿酸血症。</w:t>
      </w:r>
    </w:p>
    <w:p w14:paraId="5B385777">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靶器官损害中增加了baPWV，cfPWV 由≥12m/s改为≥10m/s。</w:t>
      </w:r>
      <w:r>
        <w:rPr>
          <w:rFonts w:hint="eastAsia" w:ascii="仿宋_GB2312" w:hAnsi="仿宋_GB2312" w:eastAsia="仿宋_GB2312" w:cs="仿宋_GB2312"/>
          <w:b w:val="0"/>
          <w:bCs w:val="0"/>
          <w:sz w:val="32"/>
          <w:szCs w:val="32"/>
        </w:rPr>
        <w:br w:type="textWrapping"/>
      </w:r>
      <w:r>
        <w:rPr>
          <w:rFonts w:hint="eastAsia" w:ascii="仿宋_GB2312" w:hAnsi="仿宋_GB2312" w:eastAsia="仿宋_GB2312" w:cs="仿宋_GB2312"/>
          <w:b w:val="0"/>
          <w:bCs w:val="0"/>
          <w:sz w:val="32"/>
          <w:szCs w:val="32"/>
        </w:rPr>
        <w:t>根据中国人群研究结果，超声心动图评估LVH的LVMI界值更改为男性≥109g / 平方米和女性≥105g /平方米。</w:t>
      </w:r>
    </w:p>
    <w:p w14:paraId="3DABB1DE">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靶器官损害是风险评估的重要组成部分。</w:t>
      </w:r>
    </w:p>
    <w:p w14:paraId="3ED993FF">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高血压患者一旦发生靶器官损害，其总体心血管风险将明显增加，故应全面评估高血压患者的靶器官损害状况。</w:t>
      </w:r>
    </w:p>
    <w:p w14:paraId="5ED2D815">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对于高危／很高危患者，新发现的靶器官损害不太可能改变其心血管危险分层，然而低危或中危患者应根据新发现的靶器官损害重新评估心血管风险，以决定管理策略。</w:t>
      </w:r>
    </w:p>
    <w:p w14:paraId="3B6DB80A">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动态评估靶器官损害以监测降压治疗后的逆转情况，可能有助于明确治疗效果。</w:t>
      </w:r>
    </w:p>
    <w:p w14:paraId="25427763">
      <w:pPr>
        <w:spacing w:line="360" w:lineRule="auto"/>
        <w:rPr>
          <w:rFonts w:hint="eastAsia" w:ascii="仿宋_GB2312" w:hAnsi="仿宋_GB2312" w:eastAsia="仿宋_GB2312" w:cs="仿宋_GB2312"/>
          <w:b w:val="0"/>
          <w:bCs w:val="0"/>
          <w:sz w:val="32"/>
          <w:szCs w:val="32"/>
        </w:rPr>
      </w:pPr>
    </w:p>
    <w:p w14:paraId="131269C1">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val="0"/>
          <w:bCs w:val="0"/>
          <w:sz w:val="32"/>
          <w:szCs w:val="32"/>
          <w:lang w:val="en-US" w:eastAsia="zh-CN"/>
        </w:rPr>
        <w:drawing>
          <wp:inline distT="0" distB="0" distL="114300" distR="114300">
            <wp:extent cx="5269865" cy="5339715"/>
            <wp:effectExtent l="0" t="0" r="6985" b="13335"/>
            <wp:docPr id="31" name="图片 38"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8" descr="IMG_272"/>
                    <pic:cNvPicPr>
                      <a:picLocks noChangeAspect="1"/>
                    </pic:cNvPicPr>
                  </pic:nvPicPr>
                  <pic:blipFill>
                    <a:blip r:embed="rId8"/>
                    <a:stretch>
                      <a:fillRect/>
                    </a:stretch>
                  </pic:blipFill>
                  <pic:spPr>
                    <a:xfrm>
                      <a:off x="0" y="0"/>
                      <a:ext cx="5269865" cy="5339715"/>
                    </a:xfrm>
                    <a:prstGeom prst="rect">
                      <a:avLst/>
                    </a:prstGeom>
                    <a:noFill/>
                    <a:ln w="9525">
                      <a:noFill/>
                    </a:ln>
                  </pic:spPr>
                </pic:pic>
              </a:graphicData>
            </a:graphic>
          </wp:inline>
        </w:drawing>
      </w:r>
    </w:p>
    <w:p w14:paraId="6A66EFF0">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5：高血压的治疗</w:t>
      </w:r>
    </w:p>
    <w:p w14:paraId="09F61252">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高血压的治疗应涵盖以下三方面的内容：</w:t>
      </w:r>
    </w:p>
    <w:p w14:paraId="76B97650">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①针对血压升高本身的降压治疗（分级）；</w:t>
      </w:r>
    </w:p>
    <w:p w14:paraId="21F31819">
      <w:pPr>
        <w:spacing w:line="360" w:lineRule="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②针对合并的危险因素、靶器官损害和临床并发症的治疗（分期）；</w:t>
      </w:r>
    </w:p>
    <w:p w14:paraId="43D8527F">
      <w:pPr>
        <w:spacing w:line="360" w:lineRule="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sz w:val="32"/>
          <w:szCs w:val="32"/>
        </w:rPr>
        <w:t>③针对高血压的病因的纠正和治疗（分型）。</w:t>
      </w:r>
    </w:p>
    <w:p w14:paraId="004F3DA4">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5.1.1 降压的获益人群</w:t>
      </w:r>
    </w:p>
    <w:p w14:paraId="03978D38">
      <w:pPr>
        <w:keepNext w:val="0"/>
        <w:keepLines w:val="0"/>
        <w:widowControl/>
        <w:suppressLineNumbers w:val="0"/>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降压药物治疗的获益主要在中危及以上的高血压患者和高危及以上的正常高值血压者中得到证实。降压治疗中需要对获益和潜在风险进行权衡，特别是高危及很高危患者，多种合并症和老年患者。</w:t>
      </w:r>
    </w:p>
    <w:p w14:paraId="6EA0C434">
      <w:pPr>
        <w:spacing w:line="360" w:lineRule="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5.1.2  启动降压药物治疗的时机</w:t>
      </w:r>
    </w:p>
    <w:p w14:paraId="057C953C">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启动降压药物治疗的时机主要取决于心血管风险，而非依据血压水平。</w:t>
      </w:r>
    </w:p>
    <w:p w14:paraId="36F03781">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血压水平≥160/100mmHg的高血压患者，应立即启动降压药物治疗（I，A）。</w:t>
      </w:r>
    </w:p>
    <w:p w14:paraId="4B9AED0D">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血压水平140~159/90~99mmHg的高血压患者，心血管风险为中危及以上者应立即启动降压药物治疗（I，A）。低危者可改善生活方式4~12周，如血压仍不达标，应尽早启动降压药物治疗（I，C）。</w:t>
      </w:r>
    </w:p>
    <w:p w14:paraId="16B7D83F">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血压水平130~139/85~89mmHg的正常高值人群，心血管风险为高危和很高危者应立即启动降压药物治疗（I，B）。低危和中危者，目前没有证据显示可以从降压药物治疗中获益，此类人群应继续进行生活方式干预（I，C）。血管危险因素、靶器官损害和临床疾病，因此应根据高血压患者的血压水平和心血管风险水平，决定给予改善生活方式和降压药物治疗的时机与强度，同时干预检出的其他危险因素、靶器官损害和并存的临床疾病。</w:t>
      </w:r>
    </w:p>
    <w:p w14:paraId="02AA8347">
      <w:pPr>
        <w:spacing w:line="360" w:lineRule="auto"/>
        <w:rPr>
          <w:rFonts w:hint="eastAsia" w:ascii="仿宋_GB2312" w:hAnsi="仿宋_GB2312" w:eastAsia="仿宋_GB2312" w:cs="仿宋_GB2312"/>
          <w:sz w:val="32"/>
          <w:szCs w:val="32"/>
          <w:lang w:val="en-US" w:eastAsia="zh-CN"/>
        </w:rPr>
      </w:pPr>
    </w:p>
    <w:p w14:paraId="2A65F49E">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inline distT="0" distB="0" distL="114300" distR="114300">
            <wp:extent cx="4067175" cy="4010025"/>
            <wp:effectExtent l="0" t="0" r="9525" b="9525"/>
            <wp:docPr id="39" name="图片 39" descr="7650bc4e5e8d1c5b754399f3ddf340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7650bc4e5e8d1c5b754399f3ddf340c7"/>
                    <pic:cNvPicPr>
                      <a:picLocks noChangeAspect="1"/>
                    </pic:cNvPicPr>
                  </pic:nvPicPr>
                  <pic:blipFill>
                    <a:blip r:embed="rId9"/>
                    <a:stretch>
                      <a:fillRect/>
                    </a:stretch>
                  </pic:blipFill>
                  <pic:spPr>
                    <a:xfrm>
                      <a:off x="0" y="0"/>
                      <a:ext cx="4067175" cy="4010025"/>
                    </a:xfrm>
                    <a:prstGeom prst="rect">
                      <a:avLst/>
                    </a:prstGeom>
                  </pic:spPr>
                </pic:pic>
              </a:graphicData>
            </a:graphic>
          </wp:inline>
        </w:drawing>
      </w:r>
    </w:p>
    <w:p w14:paraId="262E5C51">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5.1.3 降压治疗的目标</w:t>
      </w:r>
    </w:p>
    <w:p w14:paraId="3E5E290F">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高血压治疗的根本目标是降低心、脑、肾与血管并发症和死亡的总危险。</w:t>
      </w:r>
    </w:p>
    <w:p w14:paraId="529A9E70">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心血管风险高危/很高危的高血压患者以及有合并症的高血压患者，在可耐受的条件下，推荐诊室血压目标为＜130/80mmHg（I，A）。</w:t>
      </w:r>
    </w:p>
    <w:p w14:paraId="05FE23A4">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一般诊室血压患者推荐诊室血压降至＜140/90mmHg（I，A），如能耐受，应进一步降至＜130/80mmHg（I，B）。</w:t>
      </w:r>
    </w:p>
    <w:p w14:paraId="7B98CD56">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65~79岁老年人推荐诊室血压目标＜140/90mmHg（I，A），如能耐受，可降至＜130/80mmHg（IIa，A）。80岁及以上高龄老年人降压目标＜150/90mmHg，如能耐受，可降至＜140/90mmHg。</w:t>
      </w:r>
    </w:p>
    <w:p w14:paraId="31AAD2AC">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高危和很高危患者采取强化干预措施（I，A）；对无严重合并症但已有亚临床靶器官损害的患者采取积极干预措施逆转靶器官损害有一定合理性（IIa，A）；低中危的正常高值血压人群给予降压药物治疗无临床获益证据。</w:t>
      </w:r>
    </w:p>
    <w:p w14:paraId="59B86276">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drawing>
          <wp:inline distT="0" distB="0" distL="114300" distR="114300">
            <wp:extent cx="5269865" cy="2428875"/>
            <wp:effectExtent l="0" t="0" r="6985" b="9525"/>
            <wp:docPr id="40" name="图片 40" descr="de9e45b2007657e8aed5812578d3ef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de9e45b2007657e8aed5812578d3ef2f"/>
                    <pic:cNvPicPr>
                      <a:picLocks noChangeAspect="1"/>
                    </pic:cNvPicPr>
                  </pic:nvPicPr>
                  <pic:blipFill>
                    <a:blip r:embed="rId10"/>
                    <a:stretch>
                      <a:fillRect/>
                    </a:stretch>
                  </pic:blipFill>
                  <pic:spPr>
                    <a:xfrm>
                      <a:off x="0" y="0"/>
                      <a:ext cx="5269865" cy="2428875"/>
                    </a:xfrm>
                    <a:prstGeom prst="rect">
                      <a:avLst/>
                    </a:prstGeom>
                  </pic:spPr>
                </pic:pic>
              </a:graphicData>
            </a:graphic>
          </wp:inline>
        </w:drawing>
      </w:r>
    </w:p>
    <w:p w14:paraId="1312B43A">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5-2降压治疗的方法</w:t>
      </w:r>
    </w:p>
    <w:p w14:paraId="164F10A1">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降压治疗方法包括改善生活方式、降压药物治疗和器械治疗。</w:t>
      </w:r>
    </w:p>
    <w:p w14:paraId="363E5A9F">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改善生活方式是高血压治疗中不可或缺的组成部分。</w:t>
      </w:r>
    </w:p>
    <w:p w14:paraId="013B5C2A">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对于大部分高血压患者，往往需要使用降压药物治疗。</w:t>
      </w:r>
    </w:p>
    <w:p w14:paraId="0AD287EB">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在最近10多年的探索中，器械治疗在限定的高血压患者中积累了重要的证据。</w:t>
      </w:r>
    </w:p>
    <w:p w14:paraId="6FF0F0B3">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5.2.1 治疗性生活方式干预</w:t>
      </w:r>
    </w:p>
    <w:p w14:paraId="35589073">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所有高血压患者均应进行治疗性生活方式干预（I，A）。血压正常高值的人群，也应改善生活方式，预防高血压的发生（I，C）。</w:t>
      </w:r>
    </w:p>
    <w:p w14:paraId="32E96717">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所有高血压患者均应采取各种措施，限制钠盐摄入量（I，A）。建议钠的摄入量＜2g/d（氯化钠＜5g/d）；肾功能良好者推荐选择低钠富钾替代盐（I，B）。</w:t>
      </w:r>
    </w:p>
    <w:p w14:paraId="53C2F26B">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正常高值血压者以及高血压患者的膳食管理应减少摄入盐和饱和脂肪酸，增加摄入蛋白质、优质碳水化合物、钾及膳食纤维（I，B）。</w:t>
      </w:r>
    </w:p>
    <w:p w14:paraId="53B127B3">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对于超重或肥胖的高血压患者，建议通过综合生活方式干预控制体重以降低血压和心血管事件风险（I，A）。</w:t>
      </w:r>
    </w:p>
    <w:p w14:paraId="22958A70">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建议所有吸烟者戒烟，尽量避免使用电子烟，以减少隐蔽性高血压，降低心血管疾病和全因死亡风险（I，B）。</w:t>
      </w:r>
    </w:p>
    <w:p w14:paraId="5839BDD0">
      <w:pPr>
        <w:spacing w:line="360" w:lineRule="auto"/>
        <w:rPr>
          <w:rFonts w:hint="eastAsia" w:ascii="仿宋_GB2312" w:hAnsi="仿宋_GB2312" w:eastAsia="仿宋_GB2312" w:cs="仿宋_GB2312"/>
          <w:b/>
          <w:bCs/>
          <w:color w:val="00A0E8"/>
          <w:sz w:val="32"/>
          <w:szCs w:val="32"/>
        </w:rPr>
      </w:pPr>
      <w:r>
        <w:rPr>
          <w:rFonts w:hint="eastAsia" w:ascii="仿宋_GB2312" w:hAnsi="仿宋_GB2312" w:eastAsia="仿宋_GB2312" w:cs="仿宋_GB2312"/>
          <w:sz w:val="32"/>
          <w:szCs w:val="32"/>
          <w:lang w:eastAsia="zh-CN"/>
        </w:rPr>
        <w:t>正常高值血压以及高血压患者均应限制长期饮酒（I，</w:t>
      </w:r>
      <w:r>
        <w:rPr>
          <w:rFonts w:hint="eastAsia" w:ascii="仿宋_GB2312" w:hAnsi="仿宋_GB2312" w:eastAsia="仿宋_GB2312" w:cs="仿宋_GB2312"/>
          <w:b/>
          <w:bCs/>
          <w:color w:val="00A0E8"/>
          <w:sz w:val="32"/>
          <w:szCs w:val="32"/>
        </w:rPr>
        <w:t>B）。</w:t>
      </w:r>
    </w:p>
    <w:p w14:paraId="10C033A1">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对于血压控制良好的高血压患者，推荐以有氧运动为主、抗阻运动为辅的混合训练，也建议同时结合呼吸训练与柔韧性和拉伸训练（I，B）。</w:t>
      </w:r>
    </w:p>
    <w:p w14:paraId="5E07DD94">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可以考虑通过认知行为治疗、正念和冥想、瑜伽、深呼吸练习等多种方法来减轻精神压力（IIb，C）。</w:t>
      </w:r>
    </w:p>
    <w:p w14:paraId="6DB8FD3D">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高血压患者应保持健康睡眠，改善睡眠障碍（IIa，C）。</w:t>
      </w:r>
    </w:p>
    <w:p w14:paraId="16C1582D">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5.2.2 高血压的药物治疗</w:t>
      </w:r>
    </w:p>
    <w:p w14:paraId="414D60DA">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常用的降压药均可作为初始治疗用药，建议根据特殊人群的类型、合并症选择针对性药物，进行个体化治疗（I，A）。</w:t>
      </w:r>
    </w:p>
    <w:p w14:paraId="560A1651">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应根据血压水平和心血管风险选择初始单药或联合治疗（I，A）。</w:t>
      </w:r>
    </w:p>
    <w:p w14:paraId="757B1B1F">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一般患者采用常规剂量；衰弱和高龄老年人初始治疗时通常采用较小的有效治疗剂量（I，C）。根据需要，可考虑逐渐增加至足剂量（IIb，C）。</w:t>
      </w:r>
    </w:p>
    <w:p w14:paraId="6288B17B">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优先使用长效降压药，以有效控制24h血压，更有效预防心脑血管并发症（I，A）。</w:t>
      </w:r>
    </w:p>
    <w:p w14:paraId="0E27FC06">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血压≥160/100mmHg，高于目标血压20/10mmHg的高危/很高危患者，或单药治疗未达标的高血压患者应进行联合降压治疗，包括自由联合或单片复方制剂（I，A）。</w:t>
      </w:r>
    </w:p>
    <w:p w14:paraId="0CD1699D">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对血压≥140/90mmHg的患者，也可起始小剂量联合治疗（IIb，B）。</w:t>
      </w:r>
    </w:p>
    <w:p w14:paraId="123C4821">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5.2.3 高血压的器械治疗</w:t>
      </w:r>
    </w:p>
    <w:p w14:paraId="07F5170B">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现有研究结果证明了经肾动脉去肾交感神经（RDN）治疗高血压的有效性与安全性。</w:t>
      </w:r>
    </w:p>
    <w:p w14:paraId="716329E1">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需排除继发性高血压，对药物难以控制或药物依从性差的高血压患者，可以考虑开展PDN（IIb，B）。</w:t>
      </w:r>
    </w:p>
    <w:p w14:paraId="1674A079">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PDN需要在有丰富高血压诊治经验，能够进行继发性高血压病因鉴别的科室有序开展（I，C）。</w:t>
      </w:r>
    </w:p>
    <w:p w14:paraId="5F1B1D1E">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5.2.4 中医药在降压治疗中的应用</w:t>
      </w:r>
    </w:p>
    <w:p w14:paraId="102D26C5">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对于正常高值血压需要药物治疗者以及1级高血压患者可以考虑应用具有平肝潜阳等功用且有循证证据的中成药，以改善高血压症状，并起到一定的辅助降压作用，也可以作为常用降压药的联合用药（IIb，C）。</w:t>
      </w:r>
    </w:p>
    <w:p w14:paraId="37EF780F">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5-3相关心血管危险因素的处理</w:t>
      </w:r>
    </w:p>
    <w:p w14:paraId="273EB1E6">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5.3.1 血糖控制</w:t>
      </w:r>
    </w:p>
    <w:p w14:paraId="7FB08A37">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血糖控制目标：糖化血红蛋白（HbAIc）＜7%；空腹血糖4.4~7.0mmol/L；餐后2H血糖或高峰值血糖＜10.0mmol/L（I，A）。</w:t>
      </w:r>
    </w:p>
    <w:p w14:paraId="4166F82B">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老年、容易发生低血糖、病程长、合并症多、预期寿命较短的、医疗资源差、无条件监测血糖的患者，血糖目标可以适当放宽（IIa，B）。</w:t>
      </w:r>
    </w:p>
    <w:p w14:paraId="333A6215">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大多数2型糖尿病患者，首选二甲双胍，无论HbAIc是否达标，合并ASCVD或心血管风险高危的患者，应使用SGLT2i或GLP-1RA；合并CKD或心力衰竭的患者，应使用SGLT2i（I，A）。5.3.2 调脂治疗</w:t>
      </w:r>
    </w:p>
    <w:p w14:paraId="4C6E3B25">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高血压患者应积极降压联合调脂治疗，低密度脂蛋白胆固醇（LDL-C）是调脂治疗首要靶点（I，A）。</w:t>
      </w:r>
    </w:p>
    <w:p w14:paraId="7C4CCF1C">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高血压患者，根据ASCVD危险分层，确定LDL-C目标值（I，A）。降LDL-C药物治疗，首选他汀类药物（I，A），对不能达标患者，可加用胆固醇吸收抑制剂依折麦布或前蛋白转化酶枯草溶菌素9（PCSK9）抑制剂（I，A）。</w:t>
      </w:r>
    </w:p>
    <w:p w14:paraId="2CCD6229">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高血压患者，伴甘油三酯≥5.7mmol/L时，为降低胰腺炎风险，需启用贝特类或Omega-3不饱和脂肪酸治疗（IIa，B）。</w:t>
      </w:r>
    </w:p>
    <w:p w14:paraId="48DA294E">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5.3.3 抗血小板治疗</w:t>
      </w:r>
    </w:p>
    <w:p w14:paraId="477C187A">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高血压伴有缺血性心脑血管疾病的患者，推荐进行抗血小板治疗（I，A）。</w:t>
      </w:r>
    </w:p>
    <w:p w14:paraId="5FF99155">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具有ASCVD高危且合并至少一项风险增强因素但无高出血风险的40~70岁患者，可考虑应用低剂量阿司匹林进行ASCVD一级预防（IIb，B）。</w:t>
      </w:r>
    </w:p>
    <w:p w14:paraId="0B6A2250">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ASCVD风险中低危者，以及年龄＜40岁或＞70岁的患者，不推荐采用低剂量阿司匹林进行ASCVD一级预防（II，C）。</w:t>
      </w:r>
    </w:p>
    <w:p w14:paraId="45D93F6D">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5.3.4 心房颤动的抗凝治疗</w:t>
      </w:r>
    </w:p>
    <w:p w14:paraId="11BE0920">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具有血栓栓塞危险因素的高血压合并房颤患者，应进行抗凝治疗（I，A）。</w:t>
      </w:r>
    </w:p>
    <w:p w14:paraId="3E7F4F8E">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非瓣膜病房颤患者优先选择使用非维生素K拮抗类口服抗凝药（I，A）。</w:t>
      </w:r>
    </w:p>
    <w:p w14:paraId="6522FDBA">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5.3.5 心率控制</w:t>
      </w:r>
    </w:p>
    <w:p w14:paraId="0ADA9272">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所有高血压患者在测量血压的同时应测量静息心率（I，C）。</w:t>
      </w:r>
    </w:p>
    <w:p w14:paraId="21F9BE67">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高血压患者心率增快的定义为诊室静息心率＞80次/min（IIa，C）。</w:t>
      </w:r>
    </w:p>
    <w:p w14:paraId="72209214">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高血压患者心率增快时应排查诱因和原因（I，C）。</w:t>
      </w:r>
    </w:p>
    <w:p w14:paraId="5F5151EC">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高血压伴心率增快患者的药物治疗首选β受体阻滞剂（I，C）。</w:t>
      </w:r>
    </w:p>
    <w:p w14:paraId="27581E25">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5.3.6 降尿酸治疗</w:t>
      </w:r>
    </w:p>
    <w:p w14:paraId="6E6CB954">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治疗目标：高血压合并高尿酸血症患者长期控制血尿酸水平&lt;360μmol／L；合并痛风发作者控制血尿C酸水平＜300μmol/L；不建议将血尿酸水平降至＜180 μmol／L以下。</w:t>
      </w:r>
    </w:p>
    <w:p w14:paraId="0E058D7C">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非药物治疗：生活方式干预是治疗高血压伴HUA的重要措施。</w:t>
      </w:r>
    </w:p>
    <w:p w14:paraId="346BFE8F">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具体建议如下：①限制高嘌呤饮食，如：动物内脏、海鲜、坚果、干豆等；②限制酒精摄入；③避免饮用含果糖饮料或含糖饮料；④心肾功能正常者须多饮水，维持每日尿量2～3L；⑤提倡健康饮食，限制每日总热量摄入；⑥减轻体重；⑦坚持适量运动。</w:t>
      </w:r>
    </w:p>
    <w:p w14:paraId="00C3A46D">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药物治疗：高血压合并多种心血管危险因素、靶器官损害及心血管风险高危患者，建议积极生活方式干预同时给予降尿酸药物治疗。</w:t>
      </w:r>
    </w:p>
    <w:p w14:paraId="0374753F">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5-4改善和逆转高血压靶器官损害</w:t>
      </w:r>
    </w:p>
    <w:p w14:paraId="27E2006C">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在随访期间进行靶器官损害评估可以帮助判断治疗效果。重复进行靶器官损害评估应成为高血压患者随访的重要内容（I，B）。</w:t>
      </w:r>
    </w:p>
    <w:p w14:paraId="1382E9E9">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降压治疗可以逆转某些类型的靶器官损害。或延缓靶器官损害的进展并逆转心血管风险进行性增高的趋势。</w:t>
      </w:r>
    </w:p>
    <w:p w14:paraId="413EC1B6">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5-5高血压治疗随访</w:t>
      </w:r>
    </w:p>
    <w:p w14:paraId="322944F5">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5.5.1 随访目的</w:t>
      </w:r>
    </w:p>
    <w:p w14:paraId="350AC9AD">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随诊目的包括评估治疗反应，了解患者对药物的依从性和耐受情况，分析血压是否稳定达标、其他危险因素的控制状况以及检查靶器官损害的发展或变化，建立医患相互信任的良好关系。</w:t>
      </w:r>
    </w:p>
    <w:p w14:paraId="138FC17D">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5.2.2 随访内容</w:t>
      </w:r>
      <w:r>
        <w:rPr>
          <w:rFonts w:hint="eastAsia" w:ascii="仿宋_GB2312" w:hAnsi="仿宋_GB2312" w:eastAsia="仿宋_GB2312" w:cs="仿宋_GB2312"/>
          <w:sz w:val="32"/>
          <w:szCs w:val="32"/>
          <w:lang w:val="en-US" w:eastAsia="zh-CN"/>
        </w:rPr>
        <w:t> </w:t>
      </w:r>
    </w:p>
    <w:p w14:paraId="2EC72269">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随访的主要内容是观察血压、用药情况、不良反应，同时应关注血脂、血糖等其他危险因素、靶器官损害和临床疾患。</w:t>
      </w:r>
    </w:p>
    <w:p w14:paraId="62B354F1">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5.3.3 随访间隔</w:t>
      </w:r>
    </w:p>
    <w:p w14:paraId="2D9DADBD">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开始治疗后的前3月内，建议每月随访1次。</w:t>
      </w:r>
    </w:p>
    <w:p w14:paraId="0C9C60B5">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根据患者的心血管总体风险及血压水平可调整随访间隔。</w:t>
      </w:r>
    </w:p>
    <w:p w14:paraId="3C1BEBFA">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高血压1级，危险分层属低危、中危或仅服1种药物治疗者，可每1～3月随访1次；复杂病例、高危患者或临床有症状者，可考虑将随访间隔缩短为2～4周。</w:t>
      </w:r>
    </w:p>
    <w:p w14:paraId="38245E7C">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血压达标且稳定者，每1～3月随访1次；血压未达标者，每2～4周随访1次。若使用了至少3种降压药，血压仍未达标，应考虑将患者转至高血压专科诊治。</w:t>
      </w:r>
    </w:p>
    <w:p w14:paraId="58E93E07">
      <w:pPr>
        <w:spacing w:line="360" w:lineRule="auto"/>
        <w:rPr>
          <w:rFonts w:hint="eastAsia" w:ascii="仿宋_GB2312" w:hAnsi="仿宋_GB2312" w:eastAsia="仿宋_GB2312" w:cs="仿宋_GB2312"/>
          <w:color w:val="000000" w:themeColor="text1"/>
          <w:spacing w:val="4"/>
          <w:sz w:val="32"/>
          <w:szCs w:val="32"/>
          <w14:textFill>
            <w14:solidFill>
              <w14:schemeClr w14:val="tx1"/>
            </w14:solidFill>
          </w14:textFill>
        </w:rPr>
      </w:pPr>
      <w:r>
        <w:rPr>
          <w:rFonts w:hint="eastAsia" w:ascii="仿宋_GB2312" w:hAnsi="仿宋_GB2312" w:eastAsia="仿宋_GB2312" w:cs="仿宋_GB2312"/>
          <w:sz w:val="32"/>
          <w:szCs w:val="32"/>
          <w:lang w:eastAsia="zh-CN"/>
        </w:rPr>
        <w:t>新型远程医疗技术和互联网医疗有助于改善随访期间的高血压管理，可以适当延长随诊的间隔。</w:t>
      </w:r>
    </w:p>
    <w:p w14:paraId="65B6D6FA">
      <w:pPr>
        <w:pStyle w:val="5"/>
        <w:widowControl/>
        <w:spacing w:beforeAutospacing="0" w:afterAutospacing="0"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000000" w:themeColor="text1"/>
          <w:spacing w:val="4"/>
          <w:sz w:val="32"/>
          <w:szCs w:val="32"/>
          <w:lang w:eastAsia="zh-CN"/>
          <w14:textFill>
            <w14:solidFill>
              <w14:schemeClr w14:val="tx1"/>
            </w14:solidFill>
          </w14:textFill>
        </w:rPr>
        <w:t>附单</w:t>
      </w:r>
      <w:r>
        <w:rPr>
          <w:rFonts w:hint="eastAsia" w:ascii="仿宋_GB2312" w:hAnsi="仿宋_GB2312" w:eastAsia="仿宋_GB2312" w:cs="仿宋_GB2312"/>
          <w:b/>
          <w:bCs/>
          <w:color w:val="000000" w:themeColor="text1"/>
          <w:spacing w:val="4"/>
          <w:sz w:val="32"/>
          <w:szCs w:val="32"/>
          <w14:textFill>
            <w14:solidFill>
              <w14:schemeClr w14:val="tx1"/>
            </w14:solidFill>
          </w14:textFill>
        </w:rPr>
        <w:t>选题</w:t>
      </w:r>
      <w:bookmarkStart w:id="0" w:name="_GoBack"/>
      <w:bookmarkEnd w:id="0"/>
    </w:p>
    <w:p w14:paraId="51CB5320">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1、按照2024年高血压防治指南，家庭血压诊断高血压的标准是（  ）</w:t>
      </w:r>
    </w:p>
    <w:p w14:paraId="63697A6D">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 ≥130/80mmHg          B. ≥135/85mmHg</w:t>
      </w:r>
    </w:p>
    <w:p w14:paraId="09E3A26D">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C. ≥140/90mmHg          D. ≥150/95mmHg</w:t>
      </w:r>
    </w:p>
    <w:p w14:paraId="7E39B4A0">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2、2024年高血压防治指南推荐使用的血压计是（  ）</w:t>
      </w:r>
    </w:p>
    <w:p w14:paraId="2170262C">
      <w:pPr>
        <w:numPr>
          <w:ilvl w:val="0"/>
          <w:numId w:val="1"/>
        </w:num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腕式血压计             B. 水银血压计</w:t>
      </w:r>
    </w:p>
    <w:p w14:paraId="4FAA8ACC">
      <w:pPr>
        <w:numPr>
          <w:ilvl w:val="0"/>
          <w:numId w:val="0"/>
        </w:numPr>
        <w:spacing w:line="360" w:lineRule="auto"/>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C.经过准确性验证的上臂式电子血压计</w:t>
      </w:r>
    </w:p>
    <w:p w14:paraId="3AFC0817">
      <w:pPr>
        <w:numPr>
          <w:ilvl w:val="0"/>
          <w:numId w:val="0"/>
        </w:numPr>
        <w:spacing w:line="360" w:lineRule="auto"/>
        <w:ind w:left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D. 可穿戴式电子血压计</w:t>
      </w:r>
    </w:p>
    <w:p w14:paraId="7DAE9B8B">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3、65-79岁老年人，如能耐受，降压目标为诊室血压（  ）</w:t>
      </w:r>
    </w:p>
    <w:p w14:paraId="31A85101">
      <w:pPr>
        <w:numPr>
          <w:ilvl w:val="0"/>
          <w:numId w:val="2"/>
        </w:num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&lt;130/80mmHg            B. &lt;140/90mmHg</w:t>
      </w:r>
    </w:p>
    <w:p w14:paraId="4EF64481">
      <w:pPr>
        <w:numPr>
          <w:ilvl w:val="0"/>
          <w:numId w:val="0"/>
        </w:num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C. &lt;150/90mmHg            D. &lt;160/100mmHg</w:t>
      </w:r>
    </w:p>
    <w:p w14:paraId="104FE597">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4、以下不属于高血压心血管危险因素的是（  ）</w:t>
      </w:r>
    </w:p>
    <w:p w14:paraId="2F7F787B">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 腹型肥胖            B. 高钾饮食</w:t>
      </w:r>
    </w:p>
    <w:p w14:paraId="7E132891">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C. 吸烟                D. 糖耐量受损</w:t>
      </w:r>
    </w:p>
    <w:p w14:paraId="7AA96C3E">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5、血压水平140-159/90-99mmHg的高血压患者，心血管风险为低危者，启动降压药物治疗的时机是（  ）</w:t>
      </w:r>
    </w:p>
    <w:p w14:paraId="53F5F2FA">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 立即启动</w:t>
      </w:r>
    </w:p>
    <w:p w14:paraId="2027052B">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 改善生活方式2-4周，如血压仍不达标，应启动降压药物治疗</w:t>
      </w:r>
    </w:p>
    <w:p w14:paraId="7AF6A75D">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 改善生活方式4-12周，如血压仍不达标，应启动降压药物治疗</w:t>
      </w:r>
    </w:p>
    <w:p w14:paraId="150ABFDC">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D. 不用药物治疗</w:t>
      </w:r>
    </w:p>
    <w:p w14:paraId="34B330A3">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6、高血压合并有蛋白尿的慢性肾脏病（）患者降压目标是（  ）</w:t>
      </w:r>
    </w:p>
    <w:p w14:paraId="06A03C08">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 ≤140/90mmHg            B. &lt;140/90mmHg</w:t>
      </w:r>
    </w:p>
    <w:p w14:paraId="03D13331">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 ≤130/80mmHg            D. &lt;130/80mmHg</w:t>
      </w:r>
    </w:p>
    <w:p w14:paraId="3DBA9851">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7、与2018年版相比，2024年版《中国高血压防治指南》新加的章节不包括以下哪项（  ）</w:t>
      </w:r>
    </w:p>
    <w:p w14:paraId="31E04BE1">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 中国高血压防控计划和项目      B. 心率控制</w:t>
      </w:r>
    </w:p>
    <w:p w14:paraId="4F3FBA3F">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C. 高血压合并COPD               D. 降尿酸治疗</w:t>
      </w:r>
    </w:p>
    <w:p w14:paraId="4588FFF4">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8、治疗性生活方式干预中，建议高血压患者每日钠摄入量应低于（  ）</w:t>
      </w:r>
    </w:p>
    <w:p w14:paraId="4CAC2BD5">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 1500毫克               B. 2000毫克</w:t>
      </w:r>
    </w:p>
    <w:p w14:paraId="75238747">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C. 2200毫克               D. 2300毫克</w:t>
      </w:r>
    </w:p>
    <w:p w14:paraId="6B55B7D3">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9、以下哪种联合用药方案是错误的（  ）</w:t>
      </w:r>
    </w:p>
    <w:p w14:paraId="12C834D3">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 CCB+ACEI/ARB          </w:t>
      </w:r>
    </w:p>
    <w:p w14:paraId="2D1F9946">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 CCB+β受体阻滞剂</w:t>
      </w:r>
    </w:p>
    <w:p w14:paraId="409131CA">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 ACEI/ARB+β受体阻滞剂</w:t>
      </w:r>
    </w:p>
    <w:p w14:paraId="7FC3D11D">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D. CCB+利尿剂+β受体阻滞剂</w:t>
      </w:r>
    </w:p>
    <w:p w14:paraId="0071F053">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10、高血压患者如果饮酒，正确的建议是（  ）</w:t>
      </w:r>
    </w:p>
    <w:p w14:paraId="313CE235">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 饮酒量不宜超过2两/日</w:t>
      </w:r>
    </w:p>
    <w:p w14:paraId="35334046">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 酒精量女性不宜超过25克</w:t>
      </w:r>
    </w:p>
    <w:p w14:paraId="13BA2DE0">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 饮酒量啤酒不宜超过2两/日</w:t>
      </w:r>
    </w:p>
    <w:p w14:paraId="6BDAF6D6">
      <w:pPr>
        <w:spacing w:line="360"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D. 推荐不饮酒，目前在饮酒的高血压患者，建议戒酒</w:t>
      </w:r>
    </w:p>
    <w:p w14:paraId="704C7E82">
      <w:pPr>
        <w:spacing w:line="360" w:lineRule="auto"/>
        <w:rPr>
          <w:rFonts w:hint="eastAsia" w:ascii="仿宋_GB2312" w:hAnsi="仿宋_GB2312" w:eastAsia="仿宋_GB2312" w:cs="仿宋_GB2312"/>
          <w:sz w:val="32"/>
          <w:szCs w:val="32"/>
          <w:lang w:eastAsia="zh-CN"/>
        </w:rPr>
      </w:pPr>
    </w:p>
    <w:p w14:paraId="49007E26">
      <w:pPr>
        <w:spacing w:line="360" w:lineRule="auto"/>
        <w:rPr>
          <w:rFonts w:hint="eastAsia" w:ascii="仿宋_GB2312" w:hAnsi="仿宋_GB2312" w:eastAsia="仿宋_GB2312" w:cs="仿宋_GB2312"/>
          <w:sz w:val="32"/>
          <w:szCs w:val="32"/>
          <w:lang w:eastAsia="zh-CN"/>
        </w:rPr>
      </w:pPr>
    </w:p>
    <w:p w14:paraId="7A893704">
      <w:pPr>
        <w:spacing w:line="360" w:lineRule="auto"/>
        <w:rPr>
          <w:rFonts w:hint="eastAsia" w:ascii="仿宋_GB2312" w:hAnsi="仿宋_GB2312" w:eastAsia="仿宋_GB2312" w:cs="仿宋_GB2312"/>
          <w:sz w:val="32"/>
          <w:szCs w:val="32"/>
          <w:lang w:eastAsia="zh-CN"/>
        </w:rPr>
      </w:pPr>
    </w:p>
    <w:p w14:paraId="6A90E01E">
      <w:pPr>
        <w:spacing w:line="360" w:lineRule="auto"/>
        <w:rPr>
          <w:rFonts w:hint="eastAsia" w:ascii="仿宋_GB2312" w:hAnsi="仿宋_GB2312" w:eastAsia="仿宋_GB2312" w:cs="仿宋_GB2312"/>
          <w:sz w:val="32"/>
          <w:szCs w:val="32"/>
          <w:lang w:eastAsia="zh-CN"/>
        </w:rPr>
      </w:pPr>
    </w:p>
    <w:p w14:paraId="223026CF">
      <w:pPr>
        <w:spacing w:line="360" w:lineRule="auto"/>
        <w:rPr>
          <w:rFonts w:hint="eastAsia" w:eastAsiaTheme="minorEastAsia"/>
          <w:sz w:val="24"/>
          <w:szCs w:val="24"/>
          <w:lang w:eastAsia="zh-CN"/>
        </w:rPr>
      </w:pPr>
    </w:p>
    <w:p w14:paraId="32E7A2FE">
      <w:pPr>
        <w:pStyle w:val="5"/>
        <w:keepNext w:val="0"/>
        <w:keepLines w:val="0"/>
        <w:widowControl/>
        <w:suppressLineNumbers w:val="0"/>
        <w:spacing w:line="360" w:lineRule="auto"/>
        <w:rPr>
          <w:rFonts w:hint="eastAsia" w:eastAsiaTheme="minorEastAsia"/>
          <w:sz w:val="24"/>
          <w:szCs w:val="24"/>
          <w:lang w:eastAsia="zh-CN"/>
        </w:rPr>
      </w:pPr>
    </w:p>
    <w:p w14:paraId="5E779C03">
      <w:pPr>
        <w:pStyle w:val="5"/>
        <w:keepNext w:val="0"/>
        <w:keepLines w:val="0"/>
        <w:widowControl/>
        <w:suppressLineNumbers w:val="0"/>
        <w:spacing w:line="360" w:lineRule="auto"/>
        <w:rPr>
          <w:rFonts w:hint="eastAsia" w:eastAsiaTheme="minorEastAsia"/>
          <w:sz w:val="24"/>
          <w:szCs w:val="24"/>
          <w:lang w:eastAsia="zh-CN"/>
        </w:rPr>
      </w:pPr>
    </w:p>
    <w:sectPr>
      <w:pgSz w:w="11906" w:h="16838"/>
      <w:pgMar w:top="1814" w:right="158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B9F4A0"/>
    <w:multiLevelType w:val="singleLevel"/>
    <w:tmpl w:val="2AB9F4A0"/>
    <w:lvl w:ilvl="0" w:tentative="0">
      <w:start w:val="1"/>
      <w:numFmt w:val="upperLetter"/>
      <w:suff w:val="space"/>
      <w:lvlText w:val="%1."/>
      <w:lvlJc w:val="left"/>
    </w:lvl>
  </w:abstractNum>
  <w:abstractNum w:abstractNumId="1">
    <w:nsid w:val="2AE1B900"/>
    <w:multiLevelType w:val="singleLevel"/>
    <w:tmpl w:val="2AE1B900"/>
    <w:lvl w:ilvl="0" w:tentative="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E7921"/>
    <w:rsid w:val="0EE02FCE"/>
    <w:rsid w:val="17320CE6"/>
    <w:rsid w:val="18711EB8"/>
    <w:rsid w:val="1A4563DB"/>
    <w:rsid w:val="1BD956BB"/>
    <w:rsid w:val="1F5D2FAF"/>
    <w:rsid w:val="218E57B3"/>
    <w:rsid w:val="32B25D8A"/>
    <w:rsid w:val="381E22EE"/>
    <w:rsid w:val="39357EB2"/>
    <w:rsid w:val="3F4D1FC0"/>
    <w:rsid w:val="53A26376"/>
    <w:rsid w:val="58B54151"/>
    <w:rsid w:val="78BE6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9177</Words>
  <Characters>10283</Characters>
  <Lines>0</Lines>
  <Paragraphs>0</Paragraphs>
  <TotalTime>83</TotalTime>
  <ScaleCrop>false</ScaleCrop>
  <LinksUpToDate>false</LinksUpToDate>
  <CharactersWithSpaces>10567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2025-02-28T02:03:00Z</dcterms:created>
  <dc:creator>体检中心外联</dc:creator>
  <cp:lastModifiedBy>lenovo</cp:lastModifiedBy>
  <dcterms:modified xsi:type="dcterms:W3CDTF">2025-06-17T08:17:43Z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eyJoZGlkIjoiMDAxYmE2ZWJmM2RkM2I4YjQwM2FjMjkzN2EyMTE1MGUifQ==</vt:lpwstr>
  </property>
  <property fmtid="{D5CDD505-2E9C-101B-9397-08002B2CF9AE}" pid="4" name="ICV">
    <vt:lpwstr>0EBD9F16F2474EB4B422698C2C621AFF_12</vt:lpwstr>
  </property>
</Properties>
</file>